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22089F">
      <w:pPr>
        <w:keepNext w:val="0"/>
        <w:keepLines w:val="0"/>
        <w:pageBreakBefore w:val="0"/>
        <w:widowControl/>
        <w:shd w:val="clear" w:color="auto" w:fill="FFFFFF"/>
        <w:tabs>
          <w:tab w:val="center" w:pos="5207"/>
          <w:tab w:val="left" w:pos="9855"/>
        </w:tabs>
        <w:kinsoku/>
        <w:wordWrap/>
        <w:overflowPunct/>
        <w:topLinePunct w:val="0"/>
        <w:autoSpaceDE/>
        <w:autoSpaceDN/>
        <w:bidi w:val="0"/>
        <w:adjustRightInd/>
        <w:snapToGrid/>
        <w:spacing w:line="580" w:lineRule="exact"/>
        <w:jc w:val="center"/>
        <w:textAlignment w:val="auto"/>
        <w:rPr>
          <w:rFonts w:hint="eastAsia" w:ascii="黑体" w:hAnsi="宋体" w:eastAsia="黑体" w:cs="宋体"/>
          <w:b/>
          <w:bCs/>
          <w:color w:val="000000"/>
          <w:kern w:val="0"/>
          <w:sz w:val="44"/>
          <w:szCs w:val="44"/>
          <w:shd w:val="clear" w:color="auto" w:fill="FFFFFF"/>
        </w:rPr>
      </w:pPr>
      <w:r>
        <w:rPr>
          <w:rFonts w:hint="eastAsia" w:ascii="黑体" w:hAnsi="宋体" w:eastAsia="黑体" w:cs="宋体"/>
          <w:b/>
          <w:bCs/>
          <w:color w:val="000000"/>
          <w:kern w:val="0"/>
          <w:sz w:val="44"/>
          <w:szCs w:val="44"/>
          <w:shd w:val="clear" w:color="auto" w:fill="FFFFFF"/>
        </w:rPr>
        <w:t>新晃县发改局</w:t>
      </w:r>
    </w:p>
    <w:p w14:paraId="4FF2B2C3">
      <w:pPr>
        <w:keepNext w:val="0"/>
        <w:keepLines w:val="0"/>
        <w:pageBreakBefore w:val="0"/>
        <w:widowControl/>
        <w:shd w:val="clear" w:color="auto" w:fill="FFFFFF"/>
        <w:kinsoku/>
        <w:wordWrap/>
        <w:overflowPunct/>
        <w:topLinePunct w:val="0"/>
        <w:autoSpaceDE/>
        <w:autoSpaceDN/>
        <w:bidi w:val="0"/>
        <w:adjustRightInd/>
        <w:snapToGrid/>
        <w:spacing w:line="580" w:lineRule="exact"/>
        <w:jc w:val="center"/>
        <w:textAlignment w:val="auto"/>
        <w:rPr>
          <w:rFonts w:hint="eastAsia" w:ascii="黑体" w:hAnsi="宋体" w:eastAsia="黑体" w:cs="宋体"/>
          <w:b/>
          <w:bCs/>
          <w:color w:val="000000"/>
          <w:kern w:val="0"/>
          <w:sz w:val="44"/>
          <w:szCs w:val="44"/>
          <w:shd w:val="clear" w:color="auto" w:fill="FFFFFF"/>
          <w:lang w:val="en-US" w:eastAsia="zh-CN"/>
        </w:rPr>
      </w:pPr>
      <w:r>
        <w:rPr>
          <w:rFonts w:hint="eastAsia" w:ascii="黑体" w:hAnsi="宋体" w:eastAsia="黑体" w:cs="宋体"/>
          <w:b/>
          <w:bCs/>
          <w:color w:val="000000"/>
          <w:kern w:val="0"/>
          <w:sz w:val="44"/>
          <w:szCs w:val="44"/>
          <w:shd w:val="clear" w:color="auto" w:fill="FFFFFF"/>
          <w:lang w:eastAsia="zh-CN"/>
        </w:rPr>
        <w:t>2024年</w:t>
      </w:r>
      <w:r>
        <w:rPr>
          <w:rFonts w:hint="eastAsia" w:ascii="黑体" w:hAnsi="宋体" w:eastAsia="黑体" w:cs="宋体"/>
          <w:b/>
          <w:bCs/>
          <w:color w:val="000000"/>
          <w:kern w:val="0"/>
          <w:sz w:val="44"/>
          <w:szCs w:val="44"/>
          <w:shd w:val="clear" w:color="auto" w:fill="FFFFFF"/>
        </w:rPr>
        <w:t>度</w:t>
      </w:r>
      <w:r>
        <w:rPr>
          <w:rFonts w:hint="eastAsia" w:ascii="黑体" w:hAnsi="宋体" w:eastAsia="黑体" w:cs="宋体"/>
          <w:b/>
          <w:bCs/>
          <w:color w:val="000000"/>
          <w:kern w:val="0"/>
          <w:sz w:val="44"/>
          <w:szCs w:val="44"/>
          <w:shd w:val="clear" w:color="auto" w:fill="FFFFFF"/>
          <w:lang w:val="en-US" w:eastAsia="zh-CN"/>
        </w:rPr>
        <w:t>粮食储备库粮油检验专项经费</w:t>
      </w:r>
    </w:p>
    <w:p w14:paraId="6F53790A">
      <w:pPr>
        <w:keepNext w:val="0"/>
        <w:keepLines w:val="0"/>
        <w:pageBreakBefore w:val="0"/>
        <w:widowControl/>
        <w:shd w:val="clear" w:color="auto" w:fill="FFFFFF"/>
        <w:kinsoku/>
        <w:wordWrap/>
        <w:overflowPunct/>
        <w:topLinePunct w:val="0"/>
        <w:autoSpaceDE/>
        <w:autoSpaceDN/>
        <w:bidi w:val="0"/>
        <w:adjustRightInd/>
        <w:snapToGrid/>
        <w:spacing w:line="580" w:lineRule="exact"/>
        <w:jc w:val="center"/>
        <w:textAlignment w:val="auto"/>
        <w:rPr>
          <w:rFonts w:hint="eastAsia" w:ascii="黑体" w:hAnsi="宋体" w:eastAsia="黑体" w:cs="宋体"/>
          <w:b/>
          <w:bCs/>
          <w:color w:val="000000"/>
          <w:kern w:val="0"/>
          <w:sz w:val="44"/>
          <w:szCs w:val="44"/>
          <w:shd w:val="clear" w:color="auto" w:fill="FFFFFF"/>
        </w:rPr>
      </w:pPr>
      <w:r>
        <w:rPr>
          <w:rFonts w:hint="eastAsia" w:ascii="黑体" w:hAnsi="宋体" w:eastAsia="黑体" w:cs="宋体"/>
          <w:b/>
          <w:bCs/>
          <w:color w:val="000000"/>
          <w:kern w:val="0"/>
          <w:sz w:val="44"/>
          <w:szCs w:val="44"/>
          <w:shd w:val="clear" w:color="auto" w:fill="FFFFFF"/>
        </w:rPr>
        <w:t>支出绩效评价报告</w:t>
      </w:r>
    </w:p>
    <w:p w14:paraId="22F302CC">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eastAsia="仿宋_GB2312"/>
          <w:sz w:val="32"/>
          <w:szCs w:val="32"/>
        </w:rPr>
      </w:pPr>
    </w:p>
    <w:p w14:paraId="7A908B0B">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黑体" w:hAnsi="宋体" w:eastAsia="黑体" w:cs="宋体"/>
          <w:b/>
          <w:bCs/>
          <w:color w:val="000000"/>
          <w:kern w:val="0"/>
          <w:sz w:val="44"/>
          <w:szCs w:val="44"/>
          <w:shd w:val="clear" w:color="auto" w:fill="FFFFFF"/>
          <w:lang w:eastAsia="zh-CN"/>
        </w:rPr>
      </w:pPr>
      <w:r>
        <w:rPr>
          <w:rFonts w:hint="eastAsia" w:ascii="仿宋_GB2312" w:eastAsia="仿宋_GB2312"/>
          <w:sz w:val="32"/>
          <w:szCs w:val="32"/>
        </w:rPr>
        <w:t>根据</w:t>
      </w:r>
      <w:r>
        <w:rPr>
          <w:rFonts w:hint="eastAsia" w:ascii="仿宋_GB2312" w:eastAsia="仿宋_GB2312"/>
          <w:sz w:val="32"/>
          <w:szCs w:val="32"/>
          <w:lang w:val="en-US" w:eastAsia="zh-CN"/>
        </w:rPr>
        <w:t>县财政局</w:t>
      </w:r>
      <w:r>
        <w:rPr>
          <w:rFonts w:hint="eastAsia" w:ascii="仿宋_GB2312" w:hAnsi="宋体" w:eastAsia="仿宋_GB2312" w:cs="宋体"/>
          <w:kern w:val="0"/>
          <w:sz w:val="32"/>
          <w:szCs w:val="32"/>
          <w:lang w:eastAsia="zh-CN"/>
        </w:rPr>
        <w:t>部门预算支出绩效自评</w:t>
      </w:r>
      <w:r>
        <w:rPr>
          <w:rFonts w:hint="eastAsia" w:ascii="仿宋_GB2312" w:eastAsia="仿宋_GB2312"/>
          <w:sz w:val="32"/>
          <w:szCs w:val="32"/>
          <w:lang w:val="en-US" w:eastAsia="zh-CN"/>
        </w:rPr>
        <w:t>工作</w:t>
      </w:r>
      <w:r>
        <w:rPr>
          <w:rFonts w:hint="eastAsia" w:ascii="仿宋_GB2312" w:hAnsi="宋体" w:eastAsia="仿宋_GB2312" w:cs="宋体"/>
          <w:kern w:val="0"/>
          <w:sz w:val="32"/>
          <w:szCs w:val="32"/>
          <w:lang w:eastAsia="zh-CN"/>
        </w:rPr>
        <w:t>要求，</w:t>
      </w:r>
      <w:r>
        <w:rPr>
          <w:rFonts w:hint="eastAsia" w:ascii="仿宋_GB2312" w:hAnsi="宋体" w:eastAsia="仿宋_GB2312" w:cs="宋体"/>
          <w:kern w:val="0"/>
          <w:sz w:val="32"/>
          <w:szCs w:val="32"/>
          <w:lang w:val="en-US" w:eastAsia="zh-CN"/>
        </w:rPr>
        <w:t>现就2024年我县粮食储备库粮油检验专项经费项目支出</w:t>
      </w:r>
      <w:r>
        <w:rPr>
          <w:rFonts w:hint="eastAsia" w:ascii="仿宋_GB2312" w:hAnsi="宋体" w:eastAsia="仿宋_GB2312" w:cs="宋体"/>
          <w:kern w:val="0"/>
          <w:sz w:val="32"/>
          <w:szCs w:val="32"/>
          <w:lang w:eastAsia="zh-CN"/>
        </w:rPr>
        <w:t>绩效自评如下：</w:t>
      </w:r>
    </w:p>
    <w:p w14:paraId="1DBF3C1F">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黑体" w:hAnsi="黑体" w:eastAsia="黑体" w:cs="黑体"/>
          <w:b w:val="0"/>
          <w:bCs w:val="0"/>
          <w:kern w:val="0"/>
          <w:sz w:val="32"/>
          <w:szCs w:val="32"/>
        </w:rPr>
      </w:pPr>
      <w:r>
        <w:rPr>
          <w:rFonts w:hint="eastAsia" w:ascii="黑体" w:hAnsi="黑体" w:eastAsia="黑体" w:cs="黑体"/>
          <w:b w:val="0"/>
          <w:bCs w:val="0"/>
          <w:kern w:val="0"/>
          <w:sz w:val="32"/>
          <w:szCs w:val="32"/>
        </w:rPr>
        <w:t>一、基本情况</w:t>
      </w:r>
    </w:p>
    <w:p w14:paraId="02ABACF0">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eastAsia="zh-CN"/>
        </w:rPr>
        <w:t>1、</w:t>
      </w:r>
      <w:r>
        <w:rPr>
          <w:rFonts w:hint="eastAsia" w:ascii="仿宋_GB2312" w:hAnsi="宋体" w:eastAsia="仿宋_GB2312" w:cs="宋体"/>
          <w:kern w:val="0"/>
          <w:sz w:val="32"/>
          <w:szCs w:val="32"/>
          <w:lang w:val="en-US" w:eastAsia="zh-CN"/>
        </w:rPr>
        <w:t>项目背景。根据</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lang w:val="en-US" w:eastAsia="zh-CN"/>
        </w:rPr>
        <w:t>怀化市人民政府关于认真做好粮食储备安全和管理工作的通知</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lang w:val="en-US" w:eastAsia="zh-CN"/>
        </w:rPr>
        <w:t>怀政办函〔2020〕33号</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lang w:val="en-US" w:eastAsia="zh-CN"/>
        </w:rPr>
        <w:t>文件精神，确保粮食检验工作顺利开展。</w:t>
      </w:r>
    </w:p>
    <w:p w14:paraId="58B82B7E">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2、主要内容。各县市区财政要确保每年安排10万元专项经费，确保粮油检验工作正常开展，完成粮油检验各项任务。</w:t>
      </w:r>
    </w:p>
    <w:p w14:paraId="075A0D8D">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3、实施情况。2024年，委托</w:t>
      </w:r>
      <w:r>
        <w:rPr>
          <w:rFonts w:hint="eastAsia" w:ascii="仿宋_GB2312" w:hAnsi="仿宋_GB2312" w:eastAsia="仿宋_GB2312" w:cs="仿宋_GB2312"/>
          <w:b w:val="0"/>
          <w:color w:val="auto"/>
          <w:kern w:val="2"/>
          <w:sz w:val="32"/>
          <w:szCs w:val="32"/>
          <w:lang w:val="en-US" w:eastAsia="zh-CN" w:bidi="ar-SA"/>
        </w:rPr>
        <w:t>河南华测检测技术有限公司检测有限公司就粮食轮换出库P4号仓稻谷扦样检测，</w:t>
      </w:r>
      <w:r>
        <w:rPr>
          <w:rFonts w:hint="eastAsia" w:ascii="仿宋_GB2312" w:hAnsi="仿宋" w:eastAsia="仿宋_GB2312" w:cs="??_GB2312"/>
          <w:b w:val="0"/>
          <w:color w:val="auto"/>
          <w:kern w:val="0"/>
          <w:sz w:val="32"/>
          <w:szCs w:val="32"/>
          <w:lang w:val="en-US" w:eastAsia="zh-CN" w:bidi="ar-SA"/>
        </w:rPr>
        <w:t>2024年12月15日，委托湖南省粮油产品质量监测中心对2024年轮换入库的P2仓县级储备粮检测，同时，按相关规定要求开展粮食春秋季自检工作</w:t>
      </w:r>
      <w:r>
        <w:rPr>
          <w:rFonts w:hint="eastAsia" w:ascii="仿宋_GB2312" w:hAnsi="宋体" w:eastAsia="仿宋_GB2312" w:cs="宋体"/>
          <w:kern w:val="0"/>
          <w:sz w:val="32"/>
          <w:szCs w:val="32"/>
          <w:lang w:val="en-US" w:eastAsia="zh-CN"/>
        </w:rPr>
        <w:t>。</w:t>
      </w:r>
    </w:p>
    <w:p w14:paraId="254FF89E">
      <w:pPr>
        <w:keepNext w:val="0"/>
        <w:keepLines w:val="0"/>
        <w:pageBreakBefore w:val="0"/>
        <w:kinsoku/>
        <w:wordWrap/>
        <w:overflowPunct/>
        <w:topLinePunct w:val="0"/>
        <w:autoSpaceDE/>
        <w:autoSpaceDN/>
        <w:bidi w:val="0"/>
        <w:adjustRightInd/>
        <w:snapToGrid/>
        <w:spacing w:line="580" w:lineRule="exact"/>
        <w:ind w:firstLine="640" w:firstLineChars="200"/>
        <w:textAlignment w:val="auto"/>
        <w:outlineLvl w:val="0"/>
        <w:rPr>
          <w:rFonts w:hint="eastAsia" w:ascii="仿宋_GB2312" w:eastAsia="仿宋_GB2312" w:cs="Times New Roman"/>
          <w:color w:val="000000" w:themeColor="text1"/>
          <w:sz w:val="32"/>
          <w:szCs w:val="32"/>
          <w:lang w:val="en-US" w:eastAsia="zh-CN"/>
          <w14:textFill>
            <w14:solidFill>
              <w14:schemeClr w14:val="tx1"/>
            </w14:solidFill>
          </w14:textFill>
        </w:rPr>
      </w:pPr>
      <w:r>
        <w:rPr>
          <w:rFonts w:hint="eastAsia" w:ascii="仿宋_GB2312" w:hAnsi="宋体" w:eastAsia="仿宋_GB2312" w:cs="宋体"/>
          <w:kern w:val="0"/>
          <w:sz w:val="32"/>
          <w:szCs w:val="32"/>
          <w:lang w:val="en-US" w:eastAsia="zh-CN"/>
        </w:rPr>
        <w:t>4、资金投入和使用情况。2024年仓储设施专项经费预</w:t>
      </w:r>
      <w:r>
        <w:rPr>
          <w:rFonts w:hint="eastAsia" w:ascii="仿宋_GB2312" w:eastAsia="仿宋_GB2312" w:cs="Times New Roman"/>
          <w:color w:val="000000" w:themeColor="text1"/>
          <w:sz w:val="32"/>
          <w:szCs w:val="32"/>
          <w:lang w:val="en-US" w:eastAsia="zh-CN"/>
          <w14:textFill>
            <w14:solidFill>
              <w14:schemeClr w14:val="tx1"/>
            </w14:solidFill>
          </w14:textFill>
        </w:rPr>
        <w:t>算资金100000</w:t>
      </w:r>
      <w:r>
        <w:rPr>
          <w:rFonts w:hint="eastAsia" w:ascii="仿宋_GB2312" w:hAnsi="仿宋_GB2312" w:eastAsia="仿宋_GB2312" w:cs="仿宋_GB2312"/>
          <w:b w:val="0"/>
          <w:color w:val="auto"/>
          <w:kern w:val="2"/>
          <w:sz w:val="32"/>
          <w:szCs w:val="32"/>
          <w:lang w:val="en-US" w:eastAsia="zh-CN" w:bidi="ar-SA"/>
        </w:rPr>
        <w:t>元，实际投入18860元。</w:t>
      </w:r>
    </w:p>
    <w:p w14:paraId="4C95FF4A">
      <w:pPr>
        <w:keepNext w:val="0"/>
        <w:keepLines w:val="0"/>
        <w:pageBreakBefore w:val="0"/>
        <w:kinsoku/>
        <w:wordWrap/>
        <w:overflowPunct/>
        <w:topLinePunct w:val="0"/>
        <w:autoSpaceDE/>
        <w:autoSpaceDN/>
        <w:bidi w:val="0"/>
        <w:adjustRightInd/>
        <w:snapToGrid/>
        <w:spacing w:line="580" w:lineRule="exact"/>
        <w:ind w:firstLine="640" w:firstLineChars="200"/>
        <w:textAlignment w:val="auto"/>
        <w:outlineLvl w:val="0"/>
        <w:rPr>
          <w:rFonts w:hint="default" w:ascii="仿宋_GB2312" w:eastAsia="仿宋_GB2312" w:cs="Times New Roman"/>
          <w:color w:val="000000" w:themeColor="text1"/>
          <w:sz w:val="32"/>
          <w:szCs w:val="32"/>
          <w:lang w:val="en-US" w:eastAsia="zh-CN"/>
          <w14:textFill>
            <w14:solidFill>
              <w14:schemeClr w14:val="tx1"/>
            </w14:solidFill>
          </w14:textFill>
        </w:rPr>
      </w:pPr>
      <w:r>
        <w:rPr>
          <w:rFonts w:hint="eastAsia" w:ascii="仿宋_GB2312" w:eastAsia="仿宋_GB2312" w:cs="Times New Roman"/>
          <w:color w:val="000000" w:themeColor="text1"/>
          <w:sz w:val="32"/>
          <w:szCs w:val="32"/>
          <w:lang w:val="en-US" w:eastAsia="zh-CN"/>
          <w14:textFill>
            <w14:solidFill>
              <w14:schemeClr w14:val="tx1"/>
            </w14:solidFill>
          </w14:textFill>
        </w:rPr>
        <w:t>5、项目绩效目标。全面完成粮食出入库检测各项工作任务</w:t>
      </w:r>
      <w:r>
        <w:rPr>
          <w:rFonts w:hint="eastAsia" w:ascii="仿宋_GB2312" w:hAnsi="仿宋_GB2312" w:eastAsia="仿宋_GB2312" w:cs="仿宋_GB2312"/>
          <w:b w:val="0"/>
          <w:color w:val="auto"/>
          <w:kern w:val="2"/>
          <w:sz w:val="32"/>
          <w:szCs w:val="32"/>
          <w:lang w:val="en-US" w:eastAsia="zh-CN" w:bidi="ar-SA"/>
        </w:rPr>
        <w:t>。</w:t>
      </w:r>
    </w:p>
    <w:p w14:paraId="4DE1DF2E">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黑体" w:hAnsi="黑体" w:eastAsia="黑体" w:cs="黑体"/>
          <w:b w:val="0"/>
          <w:bCs w:val="0"/>
          <w:kern w:val="0"/>
          <w:sz w:val="32"/>
          <w:szCs w:val="32"/>
          <w:lang w:val="en-US" w:eastAsia="zh-CN"/>
        </w:rPr>
      </w:pPr>
      <w:r>
        <w:rPr>
          <w:rFonts w:hint="eastAsia" w:ascii="黑体" w:hAnsi="黑体" w:eastAsia="黑体" w:cs="黑体"/>
          <w:b w:val="0"/>
          <w:bCs w:val="0"/>
          <w:kern w:val="0"/>
          <w:sz w:val="32"/>
          <w:szCs w:val="32"/>
          <w:lang w:val="en-US" w:eastAsia="zh-CN"/>
        </w:rPr>
        <w:t>二、绩效评价工作开展情况</w:t>
      </w:r>
    </w:p>
    <w:p w14:paraId="3187AEEC">
      <w:pPr>
        <w:keepNext w:val="0"/>
        <w:keepLines w:val="0"/>
        <w:pageBreakBefore w:val="0"/>
        <w:kinsoku/>
        <w:wordWrap/>
        <w:overflowPunct/>
        <w:topLinePunct w:val="0"/>
        <w:autoSpaceDE/>
        <w:autoSpaceDN/>
        <w:bidi w:val="0"/>
        <w:adjustRightInd/>
        <w:snapToGrid/>
        <w:spacing w:line="580" w:lineRule="exact"/>
        <w:ind w:firstLine="640" w:firstLineChars="200"/>
        <w:textAlignment w:val="auto"/>
        <w:outlineLvl w:val="0"/>
        <w:rPr>
          <w:rFonts w:hint="eastAsia" w:ascii="仿宋_GB2312" w:eastAsia="仿宋_GB2312" w:cs="Times New Roman"/>
          <w:color w:val="000000" w:themeColor="text1"/>
          <w:sz w:val="32"/>
          <w:szCs w:val="32"/>
          <w:lang w:val="en-US" w:eastAsia="zh-CN"/>
          <w14:textFill>
            <w14:solidFill>
              <w14:schemeClr w14:val="tx1"/>
            </w14:solidFill>
          </w14:textFill>
        </w:rPr>
      </w:pPr>
      <w:r>
        <w:rPr>
          <w:rFonts w:hint="eastAsia" w:ascii="仿宋_GB2312" w:eastAsia="仿宋_GB2312" w:cs="Times New Roman"/>
          <w:color w:val="000000" w:themeColor="text1"/>
          <w:sz w:val="32"/>
          <w:szCs w:val="32"/>
          <w:lang w:val="en-US" w:eastAsia="zh-CN"/>
          <w14:textFill>
            <w14:solidFill>
              <w14:schemeClr w14:val="tx1"/>
            </w14:solidFill>
          </w14:textFill>
        </w:rPr>
        <w:t>（一）绩效评价目的、对象和范围</w:t>
      </w:r>
    </w:p>
    <w:p w14:paraId="06EFD3EF">
      <w:pPr>
        <w:keepNext w:val="0"/>
        <w:keepLines w:val="0"/>
        <w:pageBreakBefore w:val="0"/>
        <w:kinsoku/>
        <w:wordWrap/>
        <w:overflowPunct/>
        <w:topLinePunct w:val="0"/>
        <w:autoSpaceDE/>
        <w:autoSpaceDN/>
        <w:bidi w:val="0"/>
        <w:adjustRightInd/>
        <w:snapToGrid/>
        <w:spacing w:line="580" w:lineRule="exact"/>
        <w:ind w:firstLine="640" w:firstLineChars="200"/>
        <w:textAlignment w:val="auto"/>
        <w:outlineLvl w:val="0"/>
        <w:rPr>
          <w:rFonts w:hint="eastAsia" w:ascii="仿宋_GB2312" w:eastAsia="仿宋_GB2312" w:cs="Times New Roman"/>
          <w:color w:val="000000" w:themeColor="text1"/>
          <w:sz w:val="32"/>
          <w:szCs w:val="32"/>
          <w:lang w:val="en-US" w:eastAsia="zh-CN"/>
          <w14:textFill>
            <w14:solidFill>
              <w14:schemeClr w14:val="tx1"/>
            </w14:solidFill>
          </w14:textFill>
        </w:rPr>
      </w:pPr>
      <w:r>
        <w:rPr>
          <w:rFonts w:hint="eastAsia" w:ascii="仿宋_GB2312" w:eastAsia="仿宋_GB2312" w:cs="Times New Roman"/>
          <w:color w:val="000000" w:themeColor="text1"/>
          <w:sz w:val="32"/>
          <w:szCs w:val="32"/>
          <w:lang w:val="en-US" w:eastAsia="zh-CN"/>
          <w14:textFill>
            <w14:solidFill>
              <w14:schemeClr w14:val="tx1"/>
            </w14:solidFill>
          </w14:textFill>
        </w:rPr>
        <w:t>绩效评价目的旨在进一步规范专项资金管理，强化绩效和责任意识，切实提高专项资金使用效益。评价对象为</w:t>
      </w:r>
      <w:r>
        <w:rPr>
          <w:rFonts w:hint="eastAsia" w:ascii="仿宋_GB2312" w:hAnsi="宋体" w:eastAsia="仿宋_GB2312" w:cs="宋体"/>
          <w:kern w:val="0"/>
          <w:sz w:val="32"/>
          <w:szCs w:val="32"/>
          <w:lang w:val="en-US" w:eastAsia="zh-CN"/>
        </w:rPr>
        <w:t>县粮食储备库仓储设施专项经费项目</w:t>
      </w:r>
      <w:r>
        <w:rPr>
          <w:rFonts w:hint="eastAsia" w:ascii="仿宋_GB2312" w:eastAsia="仿宋_GB2312" w:cs="Times New Roman"/>
          <w:color w:val="000000" w:themeColor="text1"/>
          <w:sz w:val="32"/>
          <w:szCs w:val="32"/>
          <w:lang w:val="en-US" w:eastAsia="zh-CN"/>
          <w14:textFill>
            <w14:solidFill>
              <w14:schemeClr w14:val="tx1"/>
            </w14:solidFill>
          </w14:textFill>
        </w:rPr>
        <w:t>，评价范围包括2024年</w:t>
      </w:r>
      <w:r>
        <w:rPr>
          <w:rFonts w:hint="eastAsia" w:ascii="仿宋_GB2312" w:hAnsi="宋体" w:eastAsia="仿宋_GB2312" w:cs="宋体"/>
          <w:kern w:val="0"/>
          <w:sz w:val="32"/>
          <w:szCs w:val="32"/>
          <w:lang w:val="en-US" w:eastAsia="zh-CN"/>
        </w:rPr>
        <w:t>县粮食储备粮油检验专项经费项目</w:t>
      </w:r>
      <w:r>
        <w:rPr>
          <w:rFonts w:hint="eastAsia" w:ascii="仿宋_GB2312" w:eastAsia="仿宋_GB2312" w:cs="Times New Roman"/>
          <w:color w:val="000000" w:themeColor="text1"/>
          <w:sz w:val="32"/>
          <w:szCs w:val="32"/>
          <w:lang w:val="en-US" w:eastAsia="zh-CN"/>
          <w14:textFill>
            <w14:solidFill>
              <w14:schemeClr w14:val="tx1"/>
            </w14:solidFill>
          </w14:textFill>
        </w:rPr>
        <w:t>支出。</w:t>
      </w:r>
    </w:p>
    <w:p w14:paraId="3CE4FE91">
      <w:pPr>
        <w:keepNext w:val="0"/>
        <w:keepLines w:val="0"/>
        <w:pageBreakBefore w:val="0"/>
        <w:kinsoku/>
        <w:wordWrap/>
        <w:overflowPunct/>
        <w:topLinePunct w:val="0"/>
        <w:autoSpaceDE/>
        <w:autoSpaceDN/>
        <w:bidi w:val="0"/>
        <w:adjustRightInd/>
        <w:snapToGrid/>
        <w:spacing w:line="580" w:lineRule="exact"/>
        <w:ind w:firstLine="640" w:firstLineChars="200"/>
        <w:textAlignment w:val="auto"/>
        <w:outlineLvl w:val="0"/>
        <w:rPr>
          <w:rFonts w:ascii="仿宋" w:hAnsi="仿宋" w:eastAsia="仿宋" w:cs="仿宋"/>
          <w:spacing w:val="1"/>
          <w:sz w:val="31"/>
          <w:szCs w:val="31"/>
        </w:rPr>
      </w:pPr>
      <w:r>
        <w:rPr>
          <w:rFonts w:hint="eastAsia" w:ascii="仿宋_GB2312" w:eastAsia="仿宋_GB2312" w:cs="Times New Roman"/>
          <w:color w:val="000000" w:themeColor="text1"/>
          <w:sz w:val="32"/>
          <w:szCs w:val="32"/>
          <w:lang w:val="en-US" w:eastAsia="zh-CN"/>
          <w14:textFill>
            <w14:solidFill>
              <w14:schemeClr w14:val="tx1"/>
            </w14:solidFill>
          </w14:textFill>
        </w:rPr>
        <w:t>（二）绩效评价原则、评价指标体系、评价方法、评</w:t>
      </w:r>
      <w:r>
        <w:rPr>
          <w:rFonts w:ascii="仿宋" w:hAnsi="仿宋" w:eastAsia="仿宋" w:cs="仿宋"/>
          <w:spacing w:val="1"/>
          <w:sz w:val="31"/>
          <w:szCs w:val="31"/>
        </w:rPr>
        <w:t>价标准</w:t>
      </w:r>
    </w:p>
    <w:p w14:paraId="3C29C1CA">
      <w:pPr>
        <w:keepNext w:val="0"/>
        <w:keepLines w:val="0"/>
        <w:pageBreakBefore w:val="0"/>
        <w:kinsoku/>
        <w:wordWrap/>
        <w:overflowPunct/>
        <w:topLinePunct w:val="0"/>
        <w:autoSpaceDE/>
        <w:autoSpaceDN/>
        <w:bidi w:val="0"/>
        <w:adjustRightInd/>
        <w:snapToGrid/>
        <w:spacing w:line="580" w:lineRule="exact"/>
        <w:ind w:firstLine="640" w:firstLineChars="200"/>
        <w:textAlignment w:val="auto"/>
        <w:outlineLvl w:val="0"/>
        <w:rPr>
          <w:rFonts w:hint="eastAsia" w:ascii="仿宋_GB2312" w:eastAsia="仿宋_GB2312" w:cs="Times New Roman"/>
          <w:color w:val="000000" w:themeColor="text1"/>
          <w:sz w:val="32"/>
          <w:szCs w:val="32"/>
          <w:lang w:val="en-US" w:eastAsia="zh-CN"/>
          <w14:textFill>
            <w14:solidFill>
              <w14:schemeClr w14:val="tx1"/>
            </w14:solidFill>
          </w14:textFill>
        </w:rPr>
      </w:pPr>
      <w:r>
        <w:rPr>
          <w:rFonts w:hint="eastAsia" w:ascii="仿宋_GB2312" w:eastAsia="仿宋_GB2312" w:cs="Times New Roman"/>
          <w:color w:val="000000" w:themeColor="text1"/>
          <w:sz w:val="32"/>
          <w:szCs w:val="32"/>
          <w:lang w:val="en-US" w:eastAsia="zh-CN"/>
          <w14:textFill>
            <w14:solidFill>
              <w14:schemeClr w14:val="tx1"/>
            </w14:solidFill>
          </w14:textFill>
        </w:rPr>
        <w:t>本次绩效评价采用自评的方式，遵循客观公正、公开透明的原则，以材料核查、访谈、座谈、问卷调查、选点抽查为基础，综合运用对比分析等方法，从决策、管理、产出、效益四个方面对项目资金的使用管理、综合效益等内容进行评价。</w:t>
      </w:r>
    </w:p>
    <w:p w14:paraId="478CCE29">
      <w:pPr>
        <w:keepNext w:val="0"/>
        <w:keepLines w:val="0"/>
        <w:pageBreakBefore w:val="0"/>
        <w:kinsoku/>
        <w:wordWrap/>
        <w:overflowPunct/>
        <w:topLinePunct w:val="0"/>
        <w:autoSpaceDE/>
        <w:autoSpaceDN/>
        <w:bidi w:val="0"/>
        <w:adjustRightInd/>
        <w:snapToGrid/>
        <w:spacing w:line="580" w:lineRule="exact"/>
        <w:ind w:firstLine="640" w:firstLineChars="200"/>
        <w:textAlignment w:val="auto"/>
        <w:outlineLvl w:val="0"/>
        <w:rPr>
          <w:rFonts w:hint="eastAsia" w:ascii="仿宋_GB2312" w:eastAsia="仿宋_GB2312" w:cs="Times New Roman"/>
          <w:color w:val="000000" w:themeColor="text1"/>
          <w:sz w:val="32"/>
          <w:szCs w:val="32"/>
          <w:lang w:val="en-US" w:eastAsia="zh-CN"/>
          <w14:textFill>
            <w14:solidFill>
              <w14:schemeClr w14:val="tx1"/>
            </w14:solidFill>
          </w14:textFill>
        </w:rPr>
      </w:pPr>
      <w:r>
        <w:rPr>
          <w:rFonts w:hint="eastAsia" w:ascii="仿宋_GB2312" w:eastAsia="仿宋_GB2312" w:cs="Times New Roman"/>
          <w:color w:val="000000" w:themeColor="text1"/>
          <w:sz w:val="32"/>
          <w:szCs w:val="32"/>
          <w:lang w:val="en-US" w:eastAsia="zh-CN"/>
          <w14:textFill>
            <w14:solidFill>
              <w14:schemeClr w14:val="tx1"/>
            </w14:solidFill>
          </w14:textFill>
        </w:rPr>
        <w:t>(三)绩效评价工作过程</w:t>
      </w:r>
    </w:p>
    <w:p w14:paraId="2C5BB25A">
      <w:pPr>
        <w:keepNext w:val="0"/>
        <w:keepLines w:val="0"/>
        <w:pageBreakBefore w:val="0"/>
        <w:kinsoku/>
        <w:wordWrap/>
        <w:overflowPunct/>
        <w:topLinePunct w:val="0"/>
        <w:autoSpaceDE/>
        <w:autoSpaceDN/>
        <w:bidi w:val="0"/>
        <w:adjustRightInd/>
        <w:snapToGrid/>
        <w:spacing w:line="580" w:lineRule="exact"/>
        <w:ind w:firstLine="640" w:firstLineChars="200"/>
        <w:textAlignment w:val="auto"/>
        <w:outlineLvl w:val="0"/>
        <w:rPr>
          <w:rFonts w:hint="default" w:ascii="仿宋_GB2312" w:eastAsia="仿宋_GB2312" w:cs="Times New Roman"/>
          <w:color w:val="000000" w:themeColor="text1"/>
          <w:sz w:val="32"/>
          <w:szCs w:val="32"/>
          <w:lang w:val="en-US" w:eastAsia="zh-CN"/>
          <w14:textFill>
            <w14:solidFill>
              <w14:schemeClr w14:val="tx1"/>
            </w14:solidFill>
          </w14:textFill>
        </w:rPr>
      </w:pPr>
      <w:r>
        <w:rPr>
          <w:rFonts w:hint="default" w:ascii="仿宋_GB2312" w:eastAsia="仿宋_GB2312" w:cs="Times New Roman"/>
          <w:color w:val="000000" w:themeColor="text1"/>
          <w:sz w:val="32"/>
          <w:szCs w:val="32"/>
          <w:lang w:val="en-US" w:eastAsia="zh-CN"/>
          <w14:textFill>
            <w14:solidFill>
              <w14:schemeClr w14:val="tx1"/>
            </w14:solidFill>
          </w14:textFill>
        </w:rPr>
        <w:t>根据《湖南省预算支出绩效评价管理办法》（湘财绩〔2020〕7号）</w:t>
      </w:r>
      <w:r>
        <w:rPr>
          <w:rFonts w:hint="eastAsia" w:ascii="仿宋_GB2312" w:eastAsia="仿宋_GB2312" w:cs="Times New Roman"/>
          <w:color w:val="000000" w:themeColor="text1"/>
          <w:sz w:val="32"/>
          <w:szCs w:val="32"/>
          <w:lang w:val="en-US" w:eastAsia="zh-CN"/>
          <w14:textFill>
            <w14:solidFill>
              <w14:schemeClr w14:val="tx1"/>
            </w14:solidFill>
          </w14:textFill>
        </w:rPr>
        <w:t>等</w:t>
      </w:r>
      <w:r>
        <w:rPr>
          <w:rFonts w:hint="default" w:ascii="仿宋_GB2312" w:eastAsia="仿宋_GB2312" w:cs="Times New Roman"/>
          <w:color w:val="000000" w:themeColor="text1"/>
          <w:sz w:val="32"/>
          <w:szCs w:val="32"/>
          <w:lang w:val="en-US" w:eastAsia="zh-CN"/>
          <w14:textFill>
            <w14:solidFill>
              <w14:schemeClr w14:val="tx1"/>
            </w14:solidFill>
          </w14:textFill>
        </w:rPr>
        <w:t>文件要求，我单位成立了绩效自评工作小组，</w:t>
      </w:r>
      <w:r>
        <w:rPr>
          <w:rFonts w:hint="eastAsia" w:ascii="仿宋_GB2312" w:hAnsi="宋体" w:eastAsia="仿宋_GB2312" w:cs="宋体"/>
          <w:kern w:val="0"/>
          <w:sz w:val="32"/>
          <w:szCs w:val="32"/>
          <w:lang w:eastAsia="zh-CN"/>
        </w:rPr>
        <w:t>对</w:t>
      </w:r>
      <w:r>
        <w:rPr>
          <w:rFonts w:hint="eastAsia" w:ascii="仿宋_GB2312" w:hAnsi="宋体" w:eastAsia="仿宋_GB2312" w:cs="宋体"/>
          <w:kern w:val="0"/>
          <w:sz w:val="32"/>
          <w:szCs w:val="32"/>
          <w:lang w:val="en-US" w:eastAsia="zh-CN"/>
        </w:rPr>
        <w:t>2024年我县粮食储备库粮油检验专项经费项目</w:t>
      </w:r>
      <w:r>
        <w:rPr>
          <w:rFonts w:hint="default" w:ascii="仿宋_GB2312" w:eastAsia="仿宋_GB2312" w:cs="Times New Roman"/>
          <w:color w:val="000000" w:themeColor="text1"/>
          <w:sz w:val="32"/>
          <w:szCs w:val="32"/>
          <w:lang w:val="en-US" w:eastAsia="zh-CN"/>
          <w14:textFill>
            <w14:solidFill>
              <w14:schemeClr w14:val="tx1"/>
            </w14:solidFill>
          </w14:textFill>
        </w:rPr>
        <w:t>支出开展了绩效自评工作。组织人员收集项目资料，检查会计凭证，在规定的时间内，对项目的实施过程进行了全面、科学、细致的评价。</w:t>
      </w:r>
    </w:p>
    <w:p w14:paraId="4A8BE670">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黑体" w:hAnsi="黑体" w:eastAsia="黑体" w:cs="黑体"/>
          <w:b w:val="0"/>
          <w:bCs w:val="0"/>
          <w:kern w:val="0"/>
          <w:sz w:val="32"/>
          <w:szCs w:val="32"/>
          <w:lang w:val="en-US" w:eastAsia="zh-CN"/>
        </w:rPr>
      </w:pPr>
      <w:r>
        <w:rPr>
          <w:rFonts w:hint="eastAsia" w:ascii="黑体" w:hAnsi="黑体" w:eastAsia="黑体" w:cs="黑体"/>
          <w:b w:val="0"/>
          <w:bCs w:val="0"/>
          <w:kern w:val="0"/>
          <w:sz w:val="32"/>
          <w:szCs w:val="32"/>
          <w:lang w:val="en-US" w:eastAsia="zh-CN"/>
        </w:rPr>
        <w:t>三、综合评价情况及评价结论</w:t>
      </w:r>
    </w:p>
    <w:p w14:paraId="7CA354E5">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eastAsia="仿宋_GB2312" w:cs="Times New Roman"/>
          <w:color w:val="000000" w:themeColor="text1"/>
          <w:sz w:val="32"/>
          <w:szCs w:val="32"/>
          <w:lang w:val="en-US" w:eastAsia="zh-CN"/>
          <w14:textFill>
            <w14:solidFill>
              <w14:schemeClr w14:val="tx1"/>
            </w14:solidFill>
          </w14:textFill>
        </w:rPr>
      </w:pPr>
      <w:r>
        <w:rPr>
          <w:rFonts w:hint="eastAsia" w:ascii="仿宋_GB2312" w:eastAsia="仿宋_GB2312" w:cs="Times New Roman"/>
          <w:color w:val="000000" w:themeColor="text1"/>
          <w:sz w:val="32"/>
          <w:szCs w:val="32"/>
          <w:lang w:val="en-US" w:eastAsia="zh-CN"/>
          <w14:textFill>
            <w14:solidFill>
              <w14:schemeClr w14:val="tx1"/>
            </w14:solidFill>
          </w14:textFill>
        </w:rPr>
        <w:t>本次自评，对照项目绩效目标，从项目预算编制、项目组织管理、资金使用、项目产出、项目效益、满意度等方面逐一分析评价，总体自评得分100分，绩效评价等级为“优”。</w:t>
      </w:r>
    </w:p>
    <w:p w14:paraId="78E8626C">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黑体" w:hAnsi="黑体" w:eastAsia="黑体" w:cs="黑体"/>
          <w:b w:val="0"/>
          <w:bCs w:val="0"/>
          <w:kern w:val="0"/>
          <w:sz w:val="32"/>
          <w:szCs w:val="32"/>
          <w:lang w:val="en-US" w:eastAsia="zh-CN"/>
        </w:rPr>
      </w:pPr>
      <w:r>
        <w:rPr>
          <w:rFonts w:hint="eastAsia" w:ascii="黑体" w:hAnsi="黑体" w:eastAsia="黑体" w:cs="黑体"/>
          <w:b w:val="0"/>
          <w:bCs w:val="0"/>
          <w:kern w:val="0"/>
          <w:sz w:val="32"/>
          <w:szCs w:val="32"/>
          <w:lang w:val="en-US" w:eastAsia="zh-CN"/>
        </w:rPr>
        <w:t xml:space="preserve">四、绩效评价指标分析 </w:t>
      </w:r>
    </w:p>
    <w:p w14:paraId="744081BF">
      <w:pPr>
        <w:keepNext w:val="0"/>
        <w:keepLines w:val="0"/>
        <w:pageBreakBefore w:val="0"/>
        <w:kinsoku/>
        <w:wordWrap/>
        <w:overflowPunct/>
        <w:topLinePunct w:val="0"/>
        <w:autoSpaceDE/>
        <w:autoSpaceDN/>
        <w:bidi w:val="0"/>
        <w:adjustRightInd/>
        <w:snapToGrid/>
        <w:spacing w:before="74" w:line="580" w:lineRule="exact"/>
        <w:ind w:left="194" w:firstLine="640" w:firstLineChars="200"/>
        <w:textAlignment w:val="auto"/>
        <w:rPr>
          <w:rFonts w:hint="default" w:ascii="仿宋_GB2312" w:eastAsia="仿宋_GB2312" w:cs="Times New Roman"/>
          <w:color w:val="000000" w:themeColor="text1"/>
          <w:sz w:val="32"/>
          <w:szCs w:val="32"/>
          <w:lang w:val="en-US" w:eastAsia="zh-CN"/>
          <w14:textFill>
            <w14:solidFill>
              <w14:schemeClr w14:val="tx1"/>
            </w14:solidFill>
          </w14:textFill>
        </w:rPr>
      </w:pPr>
      <w:r>
        <w:rPr>
          <w:rFonts w:hint="eastAsia" w:ascii="仿宋_GB2312" w:eastAsia="仿宋_GB2312" w:cs="Times New Roman"/>
          <w:color w:val="000000" w:themeColor="text1"/>
          <w:sz w:val="32"/>
          <w:szCs w:val="32"/>
          <w:lang w:val="en-US" w:eastAsia="zh-CN"/>
          <w14:textFill>
            <w14:solidFill>
              <w14:schemeClr w14:val="tx1"/>
            </w14:solidFill>
          </w14:textFill>
        </w:rPr>
        <w:t>(一)项目决策情况。</w:t>
      </w:r>
      <w:r>
        <w:rPr>
          <w:rFonts w:hint="eastAsia" w:ascii="仿宋_GB2312" w:hAnsi="宋体" w:eastAsia="仿宋_GB2312" w:cs="宋体"/>
          <w:kern w:val="0"/>
          <w:sz w:val="32"/>
          <w:szCs w:val="32"/>
          <w:lang w:val="en-US" w:eastAsia="zh-CN"/>
        </w:rPr>
        <w:t>县粮食储备库粮油检验专项经费项目</w:t>
      </w:r>
      <w:r>
        <w:rPr>
          <w:rFonts w:hint="eastAsia" w:ascii="仿宋_GB2312" w:eastAsia="仿宋_GB2312" w:cs="Times New Roman"/>
          <w:color w:val="000000" w:themeColor="text1"/>
          <w:sz w:val="32"/>
          <w:szCs w:val="32"/>
          <w:lang w:val="en-US" w:eastAsia="zh-CN"/>
          <w14:textFill>
            <w14:solidFill>
              <w14:schemeClr w14:val="tx1"/>
            </w14:solidFill>
          </w14:textFill>
        </w:rPr>
        <w:t>属政策性项目，</w:t>
      </w:r>
      <w:r>
        <w:rPr>
          <w:rFonts w:hint="eastAsia" w:ascii="仿宋_GB2312" w:hAnsi="宋体" w:eastAsia="仿宋_GB2312" w:cs="宋体"/>
          <w:kern w:val="0"/>
          <w:sz w:val="32"/>
          <w:szCs w:val="32"/>
          <w:lang w:eastAsia="zh-CN"/>
        </w:rPr>
        <w:t>项目预算及预期绩效目标</w:t>
      </w:r>
      <w:r>
        <w:rPr>
          <w:rFonts w:hint="eastAsia" w:ascii="仿宋_GB2312" w:hAnsi="宋体" w:eastAsia="仿宋_GB2312" w:cs="宋体"/>
          <w:kern w:val="0"/>
          <w:sz w:val="32"/>
          <w:szCs w:val="32"/>
          <w:lang w:val="en-US" w:eastAsia="zh-CN"/>
        </w:rPr>
        <w:t>编制均由省、市、县各级层面按程序严格审议决定，预算费用标准契合我县实际，预算执行率100%。</w:t>
      </w:r>
    </w:p>
    <w:p w14:paraId="75DA0A85">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仿宋_GB2312" w:hAnsi="宋体" w:eastAsia="仿宋_GB2312" w:cs="仿宋_GB2312"/>
          <w:i w:val="0"/>
          <w:iCs w:val="0"/>
          <w:caps w:val="0"/>
          <w:color w:val="000000"/>
          <w:spacing w:val="0"/>
          <w:sz w:val="31"/>
          <w:szCs w:val="31"/>
          <w:shd w:val="clear" w:fill="FFFFFF"/>
          <w:lang w:val="en-US" w:eastAsia="zh-CN"/>
        </w:rPr>
      </w:pPr>
      <w:r>
        <w:rPr>
          <w:rFonts w:hint="eastAsia" w:ascii="仿宋_GB2312" w:eastAsia="仿宋_GB2312" w:cs="Times New Roman"/>
          <w:color w:val="000000" w:themeColor="text1"/>
          <w:sz w:val="32"/>
          <w:szCs w:val="32"/>
          <w:lang w:val="en-US" w:eastAsia="zh-CN"/>
          <w14:textFill>
            <w14:solidFill>
              <w14:schemeClr w14:val="tx1"/>
            </w14:solidFill>
          </w14:textFill>
        </w:rPr>
        <w:t>(二)项目过程情况。</w:t>
      </w:r>
      <w:r>
        <w:rPr>
          <w:rFonts w:hint="eastAsia" w:ascii="仿宋_GB2312" w:hAnsi="仿宋_GB2312" w:eastAsia="仿宋_GB2312" w:cs="仿宋_GB2312"/>
          <w:color w:val="000000"/>
          <w:sz w:val="32"/>
          <w:szCs w:val="32"/>
          <w:lang w:val="en-US" w:eastAsia="zh-CN"/>
        </w:rPr>
        <w:t>严格</w:t>
      </w:r>
      <w:r>
        <w:rPr>
          <w:rFonts w:hint="eastAsia" w:ascii="仿宋_GB2312" w:hAnsi="仿宋" w:eastAsia="仿宋_GB2312" w:cs="??_GB2312"/>
          <w:kern w:val="0"/>
          <w:sz w:val="32"/>
          <w:szCs w:val="32"/>
          <w:lang w:val="en-US" w:eastAsia="zh-CN"/>
        </w:rPr>
        <w:t>按照询价、定价、比选等程序确定第三方检测机构</w:t>
      </w:r>
      <w:r>
        <w:rPr>
          <w:rFonts w:hint="eastAsia" w:ascii="仿宋_GB2312" w:hAnsi="宋体" w:eastAsia="仿宋_GB2312" w:cs="仿宋_GB2312"/>
          <w:i w:val="0"/>
          <w:iCs w:val="0"/>
          <w:caps w:val="0"/>
          <w:color w:val="000000"/>
          <w:spacing w:val="0"/>
          <w:sz w:val="31"/>
          <w:szCs w:val="31"/>
          <w:shd w:val="clear" w:fill="FFFFFF"/>
          <w:lang w:val="en-US" w:eastAsia="zh-CN"/>
        </w:rPr>
        <w:t>。资金支出合理合规，没有出现超出项目预算范围，与本项目预算不相符、无关或不符合国家财经法规和财务管理制度以及专项资金管理办法等规定的支出。</w:t>
      </w:r>
    </w:p>
    <w:p w14:paraId="114EB09E">
      <w:pPr>
        <w:keepNext w:val="0"/>
        <w:keepLines w:val="0"/>
        <w:pageBreakBefore w:val="0"/>
        <w:kinsoku/>
        <w:wordWrap/>
        <w:overflowPunct/>
        <w:topLinePunct w:val="0"/>
        <w:autoSpaceDE/>
        <w:autoSpaceDN/>
        <w:bidi w:val="0"/>
        <w:adjustRightInd/>
        <w:snapToGrid/>
        <w:spacing w:line="580" w:lineRule="exact"/>
        <w:ind w:firstLine="620" w:firstLineChars="200"/>
        <w:textAlignment w:val="auto"/>
        <w:rPr>
          <w:rFonts w:hint="default" w:ascii="仿宋_GB2312" w:eastAsia="仿宋_GB2312" w:cs="Times New Roman"/>
          <w:color w:val="000000" w:themeColor="text1"/>
          <w:sz w:val="32"/>
          <w:szCs w:val="32"/>
          <w:lang w:val="en-US" w:eastAsia="zh-CN"/>
          <w14:textFill>
            <w14:solidFill>
              <w14:schemeClr w14:val="tx1"/>
            </w14:solidFill>
          </w14:textFill>
        </w:rPr>
      </w:pPr>
      <w:r>
        <w:rPr>
          <w:rFonts w:hint="eastAsia" w:ascii="仿宋_GB2312" w:hAnsi="宋体" w:eastAsia="仿宋_GB2312" w:cs="仿宋_GB2312"/>
          <w:i w:val="0"/>
          <w:iCs w:val="0"/>
          <w:caps w:val="0"/>
          <w:color w:val="000000"/>
          <w:spacing w:val="0"/>
          <w:sz w:val="31"/>
          <w:szCs w:val="31"/>
          <w:shd w:val="clear" w:fill="FFFFFF"/>
          <w:lang w:val="en-US" w:eastAsia="zh-CN"/>
        </w:rPr>
        <w:t>(三)项</w:t>
      </w:r>
      <w:r>
        <w:rPr>
          <w:rFonts w:hint="eastAsia" w:ascii="仿宋_GB2312" w:eastAsia="仿宋_GB2312" w:cs="Times New Roman"/>
          <w:color w:val="000000" w:themeColor="text1"/>
          <w:sz w:val="32"/>
          <w:szCs w:val="32"/>
          <w:lang w:val="en-US" w:eastAsia="zh-CN"/>
          <w14:textFill>
            <w14:solidFill>
              <w14:schemeClr w14:val="tx1"/>
            </w14:solidFill>
          </w14:textFill>
        </w:rPr>
        <w:t>目产出情况。</w:t>
      </w:r>
      <w:r>
        <w:rPr>
          <w:rFonts w:hint="eastAsia" w:ascii="仿宋_GB2312" w:hAnsi="宋体" w:eastAsia="仿宋_GB2312" w:cs="宋体"/>
          <w:kern w:val="0"/>
          <w:sz w:val="32"/>
          <w:szCs w:val="32"/>
          <w:lang w:val="en-US" w:eastAsia="zh-CN"/>
        </w:rPr>
        <w:t>按照《湖南省地方储备粮管理办法》要求，严格执行出入库必检程序。</w:t>
      </w:r>
    </w:p>
    <w:p w14:paraId="3E9F0A3A">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default" w:ascii="仿宋_GB2312" w:eastAsia="仿宋_GB2312" w:cs="Times New Roman"/>
          <w:color w:val="000000" w:themeColor="text1"/>
          <w:sz w:val="32"/>
          <w:szCs w:val="32"/>
          <w:lang w:val="en-US" w:eastAsia="zh-CN"/>
          <w14:textFill>
            <w14:solidFill>
              <w14:schemeClr w14:val="tx1"/>
            </w14:solidFill>
          </w14:textFill>
        </w:rPr>
      </w:pPr>
      <w:r>
        <w:rPr>
          <w:rFonts w:hint="eastAsia" w:ascii="仿宋_GB2312" w:eastAsia="仿宋_GB2312" w:cs="Times New Roman"/>
          <w:color w:val="000000" w:themeColor="text1"/>
          <w:sz w:val="32"/>
          <w:szCs w:val="32"/>
          <w:lang w:val="en-US" w:eastAsia="zh-CN"/>
          <w14:textFill>
            <w14:solidFill>
              <w14:schemeClr w14:val="tx1"/>
            </w14:solidFill>
          </w14:textFill>
        </w:rPr>
        <w:t>(四)项目效益情况。已全面完成粮食出入库检测各项工作任务。</w:t>
      </w:r>
    </w:p>
    <w:p w14:paraId="5103F971">
      <w:pPr>
        <w:keepNext w:val="0"/>
        <w:keepLines w:val="0"/>
        <w:pageBreakBefore w:val="0"/>
        <w:widowControl w:val="0"/>
        <w:kinsoku/>
        <w:wordWrap/>
        <w:overflowPunct/>
        <w:topLinePunct w:val="0"/>
        <w:autoSpaceDE/>
        <w:autoSpaceDN/>
        <w:bidi w:val="0"/>
        <w:adjustRightInd/>
        <w:snapToGrid/>
        <w:spacing w:line="580" w:lineRule="exact"/>
        <w:ind w:firstLine="652" w:firstLineChars="200"/>
        <w:textAlignment w:val="auto"/>
        <w:rPr>
          <w:rFonts w:hint="eastAsia" w:ascii="仿宋" w:hAnsi="仿宋" w:eastAsia="仿宋" w:cs="仿宋"/>
          <w:sz w:val="32"/>
          <w:szCs w:val="32"/>
          <w:lang w:val="en-US" w:eastAsia="zh-CN"/>
        </w:rPr>
      </w:pPr>
      <w:r>
        <w:rPr>
          <w:rFonts w:hint="eastAsia" w:ascii="黑体" w:hAnsi="黑体" w:eastAsia="黑体" w:cs="黑体"/>
          <w:spacing w:val="3"/>
          <w:sz w:val="32"/>
          <w:szCs w:val="32"/>
        </w:rPr>
        <w:t>五、</w:t>
      </w:r>
      <w:r>
        <w:rPr>
          <w:rFonts w:hint="eastAsia" w:ascii="黑体" w:hAnsi="黑体" w:eastAsia="黑体" w:cs="黑体"/>
          <w:spacing w:val="-53"/>
          <w:sz w:val="32"/>
          <w:szCs w:val="32"/>
        </w:rPr>
        <w:t xml:space="preserve"> </w:t>
      </w:r>
      <w:r>
        <w:rPr>
          <w:rFonts w:hint="eastAsia" w:ascii="黑体" w:hAnsi="黑体" w:eastAsia="黑体" w:cs="黑体"/>
          <w:spacing w:val="3"/>
          <w:sz w:val="32"/>
          <w:szCs w:val="32"/>
        </w:rPr>
        <w:t>主要经验及做法</w:t>
      </w:r>
    </w:p>
    <w:p w14:paraId="008B3F75">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 w:eastAsia="仿宋_GB2312" w:cs="??_GB2312"/>
          <w:b w:val="0"/>
          <w:color w:val="auto"/>
          <w:kern w:val="0"/>
          <w:sz w:val="32"/>
          <w:szCs w:val="32"/>
          <w:lang w:val="en-US" w:eastAsia="zh-CN" w:bidi="ar-SA"/>
        </w:rPr>
      </w:pPr>
      <w:r>
        <w:rPr>
          <w:rFonts w:hint="eastAsia" w:ascii="仿宋_GB2312" w:hAnsi="仿宋" w:eastAsia="仿宋_GB2312" w:cs="??_GB2312"/>
          <w:b w:val="0"/>
          <w:color w:val="auto"/>
          <w:kern w:val="0"/>
          <w:sz w:val="32"/>
          <w:szCs w:val="32"/>
          <w:lang w:val="en-US" w:eastAsia="zh-CN" w:bidi="ar-SA"/>
        </w:rPr>
        <w:t xml:space="preserve"> 制定出台《粮食质量安全档案制度》等九项粮食质量安全管理制度，严格落实全周期各环节质量管理，目前县粮食购销公司已有3名工作人员具备检验资质，同时配备重金属检测仪、水分检测仪、脂肪酸检测仪、精米机等检化验设备，已有一定的自检能力。</w:t>
      </w:r>
    </w:p>
    <w:p w14:paraId="0169755F">
      <w:pPr>
        <w:keepNext w:val="0"/>
        <w:keepLines w:val="0"/>
        <w:pageBreakBefore w:val="0"/>
        <w:widowControl w:val="0"/>
        <w:kinsoku/>
        <w:wordWrap/>
        <w:overflowPunct/>
        <w:topLinePunct w:val="0"/>
        <w:autoSpaceDE/>
        <w:autoSpaceDN/>
        <w:bidi w:val="0"/>
        <w:adjustRightInd/>
        <w:snapToGrid/>
        <w:spacing w:line="580" w:lineRule="exact"/>
        <w:ind w:firstLine="652" w:firstLineChars="200"/>
        <w:textAlignment w:val="auto"/>
        <w:rPr>
          <w:rFonts w:hint="eastAsia" w:ascii="仿宋_GB2312" w:hAnsi="宋体" w:eastAsia="仿宋_GB2312" w:cs="宋体"/>
          <w:kern w:val="0"/>
          <w:sz w:val="32"/>
          <w:szCs w:val="32"/>
        </w:rPr>
      </w:pPr>
      <w:r>
        <w:rPr>
          <w:rFonts w:hint="eastAsia" w:ascii="黑体" w:hAnsi="黑体" w:eastAsia="黑体" w:cs="黑体"/>
          <w:spacing w:val="3"/>
          <w:sz w:val="32"/>
          <w:szCs w:val="32"/>
        </w:rPr>
        <w:t>六、建议</w:t>
      </w:r>
      <w:r>
        <w:rPr>
          <w:rFonts w:hint="eastAsia" w:ascii="黑体" w:hAnsi="黑体" w:eastAsia="黑体" w:cs="黑体"/>
          <w:spacing w:val="3"/>
          <w:sz w:val="32"/>
          <w:szCs w:val="32"/>
          <w:lang w:val="en-US" w:eastAsia="zh-CN"/>
        </w:rPr>
        <w:t>意见</w:t>
      </w:r>
      <w:r>
        <w:rPr>
          <w:rFonts w:hint="eastAsia" w:ascii="仿宋_GB2312" w:hAnsi="宋体" w:eastAsia="仿宋_GB2312" w:cs="宋体"/>
          <w:b/>
          <w:bCs/>
          <w:kern w:val="0"/>
          <w:sz w:val="32"/>
          <w:szCs w:val="32"/>
        </w:rPr>
        <w:t xml:space="preserve">　　　　 </w:t>
      </w:r>
    </w:p>
    <w:p w14:paraId="225466A4">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请求及时拨付</w:t>
      </w:r>
      <w:r>
        <w:rPr>
          <w:rFonts w:hint="eastAsia" w:ascii="仿宋_GB2312" w:hAnsi="宋体" w:eastAsia="仿宋_GB2312" w:cs="宋体"/>
          <w:kern w:val="0"/>
          <w:sz w:val="32"/>
          <w:szCs w:val="32"/>
          <w:lang w:val="en-US" w:eastAsia="zh-CN"/>
        </w:rPr>
        <w:t>粮油检验专项经费</w:t>
      </w:r>
      <w:r>
        <w:rPr>
          <w:rFonts w:hint="eastAsia" w:ascii="仿宋_GB2312" w:eastAsia="仿宋_GB2312"/>
          <w:sz w:val="32"/>
          <w:szCs w:val="32"/>
          <w:lang w:val="en-US" w:eastAsia="zh-CN"/>
        </w:rPr>
        <w:t>。</w:t>
      </w:r>
      <w:bookmarkStart w:id="0" w:name="_GoBack"/>
      <w:bookmarkEnd w:id="0"/>
    </w:p>
    <w:p w14:paraId="25889F9A">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eastAsia="仿宋_GB2312"/>
          <w:sz w:val="32"/>
          <w:szCs w:val="32"/>
          <w:lang w:val="en-US" w:eastAsia="zh-CN"/>
        </w:rPr>
      </w:pPr>
    </w:p>
    <w:p w14:paraId="12AD5A22">
      <w:pPr>
        <w:keepNext w:val="0"/>
        <w:keepLines w:val="0"/>
        <w:pageBreakBefore w:val="0"/>
        <w:widowControl/>
        <w:shd w:val="clear" w:color="auto" w:fill="FFFFFF"/>
        <w:kinsoku/>
        <w:wordWrap/>
        <w:overflowPunct/>
        <w:topLinePunct w:val="0"/>
        <w:autoSpaceDE/>
        <w:autoSpaceDN/>
        <w:bidi w:val="0"/>
        <w:adjustRightInd/>
        <w:snapToGrid/>
        <w:spacing w:line="580" w:lineRule="exact"/>
        <w:jc w:val="right"/>
        <w:textAlignment w:val="auto"/>
        <w:rPr>
          <w:rFonts w:hint="eastAsia" w:ascii="仿宋_GB2312" w:hAnsi="仿宋_GB2312" w:eastAsia="仿宋_GB2312" w:cs="仿宋_GB2312"/>
          <w:color w:val="000000"/>
          <w:kern w:val="0"/>
          <w:sz w:val="32"/>
          <w:szCs w:val="32"/>
        </w:rPr>
      </w:pPr>
      <w:r>
        <w:rPr>
          <w:rFonts w:hint="eastAsia" w:ascii="仿宋_GB2312" w:eastAsia="仿宋_GB2312"/>
          <w:kern w:val="0"/>
          <w:sz w:val="32"/>
          <w:szCs w:val="32"/>
          <w:lang w:val="en-US" w:eastAsia="zh-CN"/>
        </w:rPr>
        <w:t>新晃县发展和改革局</w:t>
      </w:r>
    </w:p>
    <w:p w14:paraId="2CAF83EA">
      <w:pPr>
        <w:keepNext w:val="0"/>
        <w:keepLines w:val="0"/>
        <w:pageBreakBefore w:val="0"/>
        <w:kinsoku/>
        <w:wordWrap/>
        <w:overflowPunct/>
        <w:topLinePunct w:val="0"/>
        <w:autoSpaceDE/>
        <w:autoSpaceDN/>
        <w:bidi w:val="0"/>
        <w:adjustRightInd/>
        <w:snapToGrid/>
        <w:spacing w:line="580" w:lineRule="exact"/>
        <w:jc w:val="right"/>
        <w:textAlignment w:val="auto"/>
      </w:pPr>
      <w:r>
        <w:rPr>
          <w:rFonts w:hint="eastAsia" w:ascii="仿宋_GB2312" w:hAnsi="仿宋_GB2312" w:eastAsia="仿宋_GB2312" w:cs="仿宋_GB2312"/>
          <w:color w:val="000000"/>
          <w:kern w:val="0"/>
          <w:sz w:val="32"/>
          <w:szCs w:val="32"/>
          <w:lang w:val="en-US" w:eastAsia="zh-CN"/>
        </w:rPr>
        <w:t xml:space="preserve">                 2025年3月10日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_GB2312">
    <w:altName w:val="Times New Roman"/>
    <w:panose1 w:val="00000000000000000000"/>
    <w:charset w:val="00"/>
    <w:family w:val="auto"/>
    <w:pitch w:val="default"/>
    <w:sig w:usb0="00000000" w:usb1="00000000" w:usb2="00000000" w:usb3="00000000" w:csb0="0000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5Yzc0ZmYxY2U1NzkyMTY2MmIwY2YxZTRjM2U5YTcifQ=="/>
  </w:docVars>
  <w:rsids>
    <w:rsidRoot w:val="54413EF3"/>
    <w:rsid w:val="0A88590B"/>
    <w:rsid w:val="0D141E8E"/>
    <w:rsid w:val="0FAC4347"/>
    <w:rsid w:val="19A708E6"/>
    <w:rsid w:val="1AE87E2C"/>
    <w:rsid w:val="1F325DFB"/>
    <w:rsid w:val="32314512"/>
    <w:rsid w:val="3C0D06AF"/>
    <w:rsid w:val="54413EF3"/>
    <w:rsid w:val="55B1374B"/>
    <w:rsid w:val="5A323D67"/>
    <w:rsid w:val="609A1635"/>
    <w:rsid w:val="62A414BE"/>
    <w:rsid w:val="678F7AF3"/>
    <w:rsid w:val="6B26625E"/>
    <w:rsid w:val="7850011B"/>
    <w:rsid w:val="7AC97810"/>
    <w:rsid w:val="7BD834BB"/>
    <w:rsid w:val="7FB25C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样式1"/>
    <w:basedOn w:val="1"/>
    <w:qFormat/>
    <w:uiPriority w:val="0"/>
    <w:rPr>
      <w:b/>
      <w:color w:val="538135"/>
      <w:sz w:val="28"/>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1278</Words>
  <Characters>1332</Characters>
  <Lines>0</Lines>
  <Paragraphs>0</Paragraphs>
  <TotalTime>0</TotalTime>
  <ScaleCrop>false</ScaleCrop>
  <LinksUpToDate>false</LinksUpToDate>
  <CharactersWithSpaces>1357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2022-05-24T06:22:00Z</dcterms:created>
  <dc:creator>lenovo</dc:creator>
  <cp:lastModifiedBy>lenovo</cp:lastModifiedBy>
  <dcterms:modified xsi:type="dcterms:W3CDTF">2025-03-20T10:48:18Z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6E24C7E9144D4233BB658C2253448520_13</vt:lpwstr>
  </property>
  <property fmtid="{D5CDD505-2E9C-101B-9397-08002B2CF9AE}" pid="4" name="KSOTemplateDocerSaveRecord">
    <vt:lpwstr>eyJoZGlkIjoiYjUyMTYzMDBiOWIzNTEyNTNiYTAwNjEwZTBkNDU5YTAifQ==</vt:lpwstr>
  </property>
</Properties>
</file>